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48371b33e439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26188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KRIŽIĆ-KRUŽIĆ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1.023.092,96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1.265.315,35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974.195,90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1.376.167,14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110.851,79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16.182,57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11.350,98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16.182,57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11.350,98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122.202,77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Ostvareni manjak prihoda poslovanja  za 2025. godinu sastoji se od  manjka prihoda poslovanja u iznosu </w:t>
      </w:r>
      <w:r>
        <w:rPr>
          <w:b/>
        </w:rPr>
        <w:t xml:space="preserve">110.851,79</w:t>
      </w:r>
      <w:r>
        <w:t xml:space="preserve"> eura koji je nastao zbog knjiženja13. rashoda plaće  i naknada za zaposlene u 12. mjesecu 2025. godine, za koji nije priznat prihod iz proračuna, u iznosu 97.059,82 eura, jer je isplata bila u siječnju 2026. godine i većih tekućih rashoda od ostvarenih tekućih prihoda u iznosu 13.791,97 eura.</w:t>
      </w:r>
    </w:p>
    <w:p>
      <w:r>
        <w:t xml:space="preserve">Ostvaren je manjak od nefinancijske imovine u iznosu </w:t>
      </w:r>
      <w:r>
        <w:rPr>
          <w:b/>
        </w:rPr>
        <w:t xml:space="preserve">11.350,98 </w:t>
      </w:r>
      <w:r>
        <w:t xml:space="preserve">eura jer nisu ostvareni prihodi od prodaje nefinancijske imovine.</w:t>
      </w:r>
    </w:p>
    <w:p>
      <w:r>
        <w:t xml:space="preserve">Preneseni višak prihoda iz prethodnih godina iznosi 36.663,69 eura te ukupni rezultat na dan 31.12.2025. godine iznosi -85.539,08 eura.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u iznosu 102.652,67 eura sastoji se od obveze za zaposlene u iznosu 101.099,02 eura i obveze za povrat u proračun refundacije bolovanja od HZZO -a u iznosu 1.553,65 eura, koje su nedospjele.</w:t>
      </w:r>
    </w:p>
    <w:p>
      <w:r>
        <w:t xml:space="preserve">Obveze za zaposlene su nastale knjiženjem obračuna plaće i naknada za 12 mjesec 2025. godine u 12. mjesecu kao 13. kontinuiranog rashoda za koji su planirana sredstva u proračunskoj godini, a obveza je  podmirena u siječnju 2026. godine.</w:t>
      </w:r>
    </w:p>
    <w:p>
      <w:r>
        <w:t xml:space="preserve">Sve druge obveze zaprimljene do 31.12.2025. su i podmirene.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91dfc4006f411a" /></Relationships>
</file>